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25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2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-133357" y="-2276513"/>
                                    <a:ext cx="5485128" cy="46151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Framework 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Award Form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</w:p>
                                  </w:txbxContent>
                                </wps:txbx>
                                <wps:bodyPr anchorCtr="0" anchor="b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2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25"/>
        <w:gridCol w:w="8070"/>
        <w:tblGridChange w:id="0">
          <w:tblGrid>
            <w:gridCol w:w="436"/>
            <w:gridCol w:w="2025"/>
            <w:gridCol w:w="807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white"/>
                      <w:rtl w:val="0"/>
                    </w:rPr>
                    <w:t xml:space="preserve">[Supplier Name]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white"/>
                      <w:rtl w:val="0"/>
                    </w:rPr>
                    <w:t xml:space="preserve">[Supplier Address]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white"/>
                      <w:rtl w:val="0"/>
                    </w:rPr>
                    <w:t xml:space="preserve">[Supplier Registration]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white"/>
                      <w:rtl w:val="0"/>
                    </w:rPr>
                    <w:t xml:space="preserve">[Supplier SID4GOV ID]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[Lot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]. You cannot deliver in any other Lot under this contract. Any references made to other Lots in this contract do not apply. 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RM1557.13L4 (FTS Contract Notice) 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highlight w:val="white"/>
                <w:rtl w:val="0"/>
              </w:rPr>
              <w:t xml:space="preserve">2022/S 000-006384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Cloud Support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spacing w:after="0" w:before="24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Cloud Migration Planning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-  the provision of planning services to enable customers to move to cloud software and/or hosting services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Set Up and Migration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the provision of setup and migration services which involves the process of consolidating and transferring a collection of workloads. Workloads can include emails, files, calendars, document types, related metadata, instant messages, applications, user permissions, compound structure and linked components.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Security Services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highlight w:val="white"/>
                <w:rtl w:val="0"/>
              </w:rPr>
              <w:t xml:space="preserve">Maintain the confidentiality, integrity and availability of services and information, and protect services against threats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Quality Assurance and Performance Testing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- Continuously ensure that a service does what it’s supposed to do to meet user needs efficiently and reliably.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Training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- provision of training to provide organisations with the ability to optimise the use of cloud based software and services, cloud security management and other cloud and virtualisation topics.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Ongoing Support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- Support user needs by providing help before, during and after service delivery.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2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 December 2022</w:t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 December 2023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Up to 12 months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</w:t>
            </w:r>
          </w:p>
          <w:p w:rsidR="00000000" w:rsidDel="00000000" w:rsidP="00000000" w:rsidRDefault="00000000" w:rsidRPr="00000000" w14:paraId="0000003D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F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RM1557.13L4 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RM1557.13L4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RM1557.13L4 (in equal order of precedence):</w:t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B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C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D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E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 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  <w:t xml:space="preserve"> 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16 (Benchmarking) </w:t>
              <w:tab/>
              <w:tab/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17 (MOD Terms) </w:t>
              <w:tab/>
              <w:tab/>
              <w:t xml:space="preserve">               </w:t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18 (Background Checks) </w:t>
              <w:tab/>
            </w:r>
          </w:p>
          <w:p w:rsidR="00000000" w:rsidDel="00000000" w:rsidP="00000000" w:rsidRDefault="00000000" w:rsidRPr="00000000" w14:paraId="00000071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19 (Scottish Law)</w:t>
              <w:tab/>
              <w:tab/>
              <w:t xml:space="preserve">      </w:t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  </w:t>
            </w:r>
          </w:p>
          <w:p w:rsidR="00000000" w:rsidDel="00000000" w:rsidP="00000000" w:rsidRDefault="00000000" w:rsidRPr="00000000" w14:paraId="00000073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  </w:t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     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RM1557.13L4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 RM1557.13L4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Special Term 1 -N/A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As per the completed SFIA Rate Card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Cyber Essentials Scheme Plus Certificate or ISO27001 Certificate. Details in Framework Schedule 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VAT,0.75%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Please see embedded folder within the Framework Contract Documents folder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bookmarkStart w:colFirst="0" w:colLast="0" w:name="_heading=h.1fob9te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  <w:sectPr>
          <w:type w:val="nextPage"/>
          <w:pgSz w:h="16838" w:w="11906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5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RM1557.13L4</w:t>
      <w:tab/>
      <w:t xml:space="preserve">                                           </w:t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" w:cs="Noto Sans" w:eastAsia="Noto Sans" w:hAnsi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abstractNum w:abstractNumId="4">
    <w:lvl w:ilvl="0">
      <w:start w:val="1"/>
      <w:numFmt w:val="decimal"/>
      <w:lvlText w:val="%1."/>
      <w:lvlJc w:val="left"/>
      <w:pPr>
        <w:ind w:left="644" w:hanging="357.9999999999999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5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" w:cs="Noto Sans" w:eastAsia="Noto Sans" w:hAnsi="Noto San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5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6" w:customStyle="1">
    <w:basedOn w:val="TableNormal"/>
    <w:rPr>
      <w:color w:val="366091"/>
    </w:rPr>
    <w:tblPr>
      <w:tblStyleRowBandSize w:val="1"/>
      <w:tblStyleColBandSize w:val="1"/>
    </w:tblPr>
  </w:style>
  <w:style w:type="table" w:styleId="a7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NormalWeb">
    <w:name w:val="Normal (Web)"/>
    <w:basedOn w:val="Normal"/>
    <w:uiPriority w:val="99"/>
    <w:semiHidden w:val="1"/>
    <w:unhideWhenUsed w:val="1"/>
    <w:rsid w:val="009050C2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5ERPL5HzYiuink2FUN+N2Ly0A==">AMUW2mUB1yH//6RlBtWCoJK3q2ucgs8NFQLRwtc9p6USXuUkQj0hldFBViHBPLuyFYEgzXN6oS3p9F6U9Zo+HsEzoC5Xp1kpnuWyMIk2ZwvH90RV5wwXDH62RkJIq6Ht/dVcHQhrtyWm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2022-11-14T16:37:00Z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